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XBJ25420142491935477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东湖新技术开发区何善才蔬菜店销售的生姜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2025年5月14日抽自</w:t>
      </w:r>
      <w:r>
        <w:rPr>
          <w:rFonts w:hint="eastAsia" w:eastAsia="仿宋_GB2312"/>
          <w:b w:val="0"/>
          <w:bCs w:val="0"/>
          <w:sz w:val="32"/>
          <w:szCs w:val="32"/>
          <w:lang w:val="en-US" w:eastAsia="zh-CN"/>
        </w:rPr>
        <w:t>东湖新技术开发区何善才蔬菜店销售的生姜，噻虫胺项目不符合 GB 2763-2021《食品安全国家标准 食品中农药最大残留限量》 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噻虫胺残留限量超过食品安全标准限量的生姜的行为违反了《食用农产品市场销售质量安全监督管理办法》第十五条第一款“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当事人无减轻、从轻、从重处罚情节。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当事人经营农药残留含量超过食品安全标准限量生姜的行为，本应依据《食用农产品市场销售质量安全监督管理办法》第四十二条“销售者违反本办法第十五条规定，采购、销售食品安全法第三十四条规定情形的食用农产品的，由县级以上市场监督管理部门依照食品安全法有关规定给予处罚”和《中华人民共和国食品安全法》第一百二十四条第一款第一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对当事人予以行政处罚，鉴于当事人购进生姜时履行了进货查验义务，有充分证据证明其不知道所采购的生姜不符合食品安全标准，案发后积极配合调查，主动提供情况说明、供货方资质、进货票据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免于处罚的规定，因涉案不合格批次生姜已使用完毕，无需没收不合格生姜，本局决定对当事人免于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员对该经营单位进行了全面检查，该单位积极配合调查，如实说明涉案产品来源，提供了供货商的《营业执照》、《农产品检验报告单》和</w:t>
      </w:r>
      <w:r>
        <w:rPr>
          <w:rFonts w:hint="eastAsia" w:eastAsia="仿宋_GB2312" w:cs="Times New Roman"/>
          <w:sz w:val="32"/>
          <w:szCs w:val="32"/>
          <w:lang w:val="en-US" w:eastAsia="zh-CN"/>
        </w:rPr>
        <w:t>送货单</w:t>
      </w:r>
      <w:r>
        <w:rPr>
          <w:rFonts w:hint="eastAsia" w:ascii="Times New Roman" w:hAnsi="Times New Roman" w:eastAsia="仿宋_GB2312" w:cs="Times New Roman"/>
          <w:b w:val="0"/>
          <w:bCs w:val="0"/>
          <w:sz w:val="32"/>
          <w:szCs w:val="32"/>
          <w:lang w:val="en-US" w:eastAsia="zh-CN"/>
        </w:rPr>
        <w:t>等相关证明文件。针对此次不合格情况，该单</w:t>
      </w:r>
      <w:bookmarkStart w:id="0" w:name="_GoBack"/>
      <w:bookmarkEnd w:id="0"/>
      <w:r>
        <w:rPr>
          <w:rFonts w:hint="eastAsia" w:ascii="Times New Roman" w:hAnsi="Times New Roman" w:eastAsia="仿宋_GB2312" w:cs="Times New Roman"/>
          <w:b w:val="0"/>
          <w:bCs w:val="0"/>
          <w:sz w:val="32"/>
          <w:szCs w:val="32"/>
          <w:lang w:val="en-US" w:eastAsia="zh-CN"/>
        </w:rPr>
        <w:t>位已制定整改措施：</w:t>
      </w:r>
      <w:r>
        <w:rPr>
          <w:rFonts w:hint="eastAsia" w:eastAsia="仿宋_GB2312" w:cs="Times New Roman"/>
          <w:b w:val="0"/>
          <w:bCs w:val="0"/>
          <w:sz w:val="32"/>
          <w:szCs w:val="32"/>
          <w:lang w:val="en-US" w:eastAsia="zh-CN"/>
        </w:rPr>
        <w:t>加强供应商管理，严格履行进货查验义务，保障食品安全。</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0" w:usb1="00000000" w:usb2="00000000" w:usb3="00000000" w:csb0="00000000" w:csb1="00000000"/>
  </w:font>
  <w:font w:name="楷体_GB2312">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3E62C1"/>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814705"/>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DB97E5C"/>
    <w:rsid w:val="2EAA3276"/>
    <w:rsid w:val="2EB96CAB"/>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547222"/>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2025-08-27T07:59:19Z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